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BD" w:rsidRPr="00076E1E" w:rsidRDefault="003558BD">
      <w:pPr>
        <w:spacing w:after="0" w:line="240" w:lineRule="auto"/>
        <w:jc w:val="center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783"/>
        <w:gridCol w:w="4695"/>
      </w:tblGrid>
      <w:tr w:rsidR="003558BD" w:rsidRPr="005E3C1F">
        <w:trPr>
          <w:trHeight w:val="1"/>
        </w:trPr>
        <w:tc>
          <w:tcPr>
            <w:tcW w:w="4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58BD" w:rsidRPr="005E3C1F" w:rsidRDefault="003558BD">
            <w:pPr>
              <w:spacing w:after="0" w:line="240" w:lineRule="auto"/>
              <w:rPr>
                <w:rFonts w:ascii="Calibri" w:eastAsia="Calibri" w:hAnsi="Calibri" w:cs="Calibri"/>
                <w:lang w:val="bg-BG"/>
              </w:rPr>
            </w:pPr>
            <w:r w:rsidRPr="005E3C1F">
              <w:rPr>
                <w:lang w:val="bg-BG"/>
              </w:rPr>
              <w:object w:dxaOrig="3847" w:dyaOrig="2672">
                <v:rect id="rectole0000000000" o:spid="_x0000_i1025" style="width:192pt;height:133.5pt" o:ole="" o:preferrelative="t" stroked="f">
                  <v:imagedata r:id="rId7" o:title=""/>
                </v:rect>
                <o:OLEObject Type="Embed" ProgID="StaticMetafile" ShapeID="rectole0000000000" DrawAspect="Content" ObjectID="_1714303906" r:id="rId8"/>
              </w:object>
            </w:r>
          </w:p>
        </w:tc>
        <w:tc>
          <w:tcPr>
            <w:tcW w:w="4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58BD" w:rsidRPr="005E3C1F" w:rsidRDefault="007342A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ОБЯВА</w:t>
            </w:r>
          </w:p>
          <w:p w:rsidR="003558BD" w:rsidRPr="005E3C1F" w:rsidRDefault="007342A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за</w:t>
            </w:r>
            <w:proofErr w:type="gramEnd"/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 xml:space="preserve"> приемане на проектни предложения за предоставяне на</w:t>
            </w:r>
          </w:p>
          <w:p w:rsidR="003558BD" w:rsidRPr="005E3C1F" w:rsidRDefault="007342A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безвъзмездна</w:t>
            </w:r>
            <w:proofErr w:type="gramEnd"/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 xml:space="preserve"> финансова помощ от страна на Република България</w:t>
            </w:r>
          </w:p>
          <w:p w:rsidR="003558BD" w:rsidRPr="005E3C1F" w:rsidRDefault="003558BD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</w:tr>
    </w:tbl>
    <w:p w:rsidR="003558BD" w:rsidRPr="005E3C1F" w:rsidRDefault="003558BD">
      <w:pPr>
        <w:spacing w:after="0" w:line="240" w:lineRule="auto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3558BD">
      <w:pPr>
        <w:spacing w:after="0" w:line="240" w:lineRule="auto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Министерство на външните работи на Република България чрез Посолството</w:t>
      </w:r>
      <w:r w:rsidR="00076E1E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/ Генералното консулство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на Република България в Република Сърбия обявява процедура по приемане и подбор на предложения за проекти, които ще бъдат изпълнявани с безвъзмездна финансова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помощ в рамките на официалната помощ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за развитие на Република България с начален срок на изпълнение през 202</w:t>
      </w:r>
      <w:r w:rsidR="00AF1089">
        <w:rPr>
          <w:rFonts w:ascii="Calibri" w:eastAsia="Calibri" w:hAnsi="Calibri" w:cs="Calibri"/>
          <w:sz w:val="24"/>
          <w:shd w:val="clear" w:color="auto" w:fill="FFFFFF"/>
          <w:lang w:val="bg-BG"/>
        </w:rPr>
        <w:t>3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година.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Приоритетните области и направления за изпълнение на проекти на територията на Република Сърбия </w:t>
      </w:r>
      <w:proofErr w:type="gramStart"/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са: </w:t>
      </w:r>
      <w:proofErr w:type="gramEnd"/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78"/>
      </w:tblGrid>
      <w:tr w:rsidR="003558BD" w:rsidRPr="005E3C1F"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322445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322445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Защита на правата на човека и спазване на правата на малцинствата, повишаване на капацитета за прилагане на правозащитните стандарти и подобряване достъпа до правосъдие на местно ниво; Подкрепа за реформиране на публичния сектор съгласно европейските стандарти в контекста на процеса на европейска интеграция на Сърбия /вкл. </w:t>
            </w:r>
            <w:proofErr w:type="gramStart"/>
            <w:r w:rsidRPr="00322445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чрез</w:t>
            </w:r>
            <w:proofErr w:type="gramEnd"/>
            <w:r w:rsidRPr="00322445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изпращането на български експерти/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;</w:t>
            </w:r>
          </w:p>
          <w:p w:rsidR="003558BD" w:rsidRPr="005E3C1F" w:rsidRDefault="00442291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442291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Повишаване на административния капацитет с цел укрепване на върховенството на закона, демократичното управление и насърчаване на гражданското общество и участието на младите хора в процеса на вземане на решения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;</w:t>
            </w:r>
          </w:p>
          <w:p w:rsidR="003558BD" w:rsidRPr="005E3C1F" w:rsidRDefault="00442291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442291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Устойчиво икономическо развитие и подкрепа за устойчива</w:t>
            </w:r>
            <w:proofErr w:type="gramEnd"/>
            <w:r w:rsidRPr="00442291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заетост; развитие на предприемачеството, чрез подобряване капацитета на институции и/или организации, подпомагащи развитието на малкия и среден бизнес; подкрепа за бизнеса в прилагането на стандартите на ЕС и преодоляване на негативните социално-икономически последици от COVID-19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;</w:t>
            </w:r>
          </w:p>
          <w:p w:rsidR="003558BD" w:rsidRPr="005E3C1F" w:rsidRDefault="00442291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442291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Осигуряване на приобщаващо и качествено образование и подобряване на училищната инфраструктура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;</w:t>
            </w:r>
          </w:p>
          <w:p w:rsidR="003558BD" w:rsidRPr="00442291" w:rsidRDefault="00442291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lang w:val="bg-BG"/>
              </w:rPr>
            </w:pPr>
            <w:r w:rsidRPr="00442291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Подкрепа за осигуряване на универсално здравно покритие и достъп до качествени здравни услуги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;</w:t>
            </w:r>
          </w:p>
          <w:p w:rsidR="00442291" w:rsidRPr="00442291" w:rsidRDefault="00442291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 w:rsidRPr="00442291"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Осигуряване на качествена и здравословна околна среда и устойчиво управление на природните ресурси (с фокус върху </w:t>
            </w:r>
            <w:proofErr w:type="spellStart"/>
            <w:r w:rsidRPr="00442291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приграничния</w:t>
            </w:r>
            <w:proofErr w:type="spellEnd"/>
            <w:r w:rsidRPr="00442291"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 район с Република България).</w:t>
            </w: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666D06" w:rsidP="00666D06">
      <w:pPr>
        <w:spacing w:before="100" w:after="0" w:line="24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lastRenderedPageBreak/>
        <w:t xml:space="preserve">1. </w:t>
      </w:r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Цели и обхват на проектите: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4A0"/>
      </w:tblPr>
      <w:tblGrid>
        <w:gridCol w:w="9216"/>
      </w:tblGrid>
      <w:tr w:rsidR="003558BD" w:rsidRPr="005E3C1F">
        <w:trPr>
          <w:trHeight w:val="1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7342AE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Оказване на съдействие за процесите на демократични реформи, защита на </w:t>
            </w: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правата на човека и правата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малцинствата, укрепване на върховенството на закона,</w:t>
            </w:r>
            <w:r w:rsidR="002A1640" w:rsidRPr="005E3C1F">
              <w:rPr>
                <w:lang w:val="bg-BG"/>
              </w:rPr>
              <w:t xml:space="preserve"> на </w:t>
            </w:r>
            <w:r w:rsidR="002A1640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публичните институции,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гражданското общество, на пазарната икономика и др., включително в контекста на подкрепата за европейската интеграция;</w:t>
            </w:r>
          </w:p>
          <w:p w:rsidR="003558BD" w:rsidRPr="005E3C1F" w:rsidRDefault="007342AE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Стимулиране и подпомагане на изграждането на административния капацитет на Сърбия за постигане на процесите на демократичните реформи и спазването на </w:t>
            </w: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правата на човека и правата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малцинствата, особено по отношение на институции, които към момента нямат достатъчно опит и кадрови капацитет за съответните функции и дейности;</w:t>
            </w:r>
          </w:p>
          <w:p w:rsidR="003558BD" w:rsidRPr="00C56CDF" w:rsidRDefault="007342AE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Подкрепа за свободата на словото и медиите чрез насърчаван</w:t>
            </w:r>
            <w:r w:rsidR="002A1640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е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качествена, независима и гражданска журналистика;</w:t>
            </w:r>
          </w:p>
          <w:p w:rsidR="00C56CDF" w:rsidRPr="00C56CDF" w:rsidRDefault="00C56CDF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Подобряване на бизнес средата и повишаване на заетостта;</w:t>
            </w:r>
          </w:p>
          <w:p w:rsidR="00C56CDF" w:rsidRPr="005E3C1F" w:rsidRDefault="00C56CDF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Стимулиране на добрите практики в сферата на мониторинга и опазването на околната среда, както и в устойчивото управление на природните ресурси.</w:t>
            </w: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EF3BD4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2.   </w:t>
      </w:r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Целеви групи: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78"/>
      </w:tblGrid>
      <w:tr w:rsidR="003558BD" w:rsidRPr="005E3C1F"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D3217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>Неправителствени</w:t>
            </w:r>
            <w:r w:rsidR="007342AE"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 xml:space="preserve"> организации;</w:t>
            </w:r>
          </w:p>
          <w:p w:rsidR="003558BD" w:rsidRPr="005E3C1F" w:rsidRDefault="00D3217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>Организации</w:t>
            </w:r>
            <w:r w:rsidR="007342AE"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 xml:space="preserve"> на местно самоуправление;</w:t>
            </w:r>
          </w:p>
          <w:p w:rsidR="003558BD" w:rsidRPr="005E3C1F" w:rsidRDefault="00D3217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>Образователни</w:t>
            </w:r>
            <w:r w:rsidR="007342AE"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 xml:space="preserve"> институции;</w:t>
            </w:r>
          </w:p>
          <w:p w:rsidR="003558BD" w:rsidRPr="005E3C1F" w:rsidRDefault="00D3217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Младите</w:t>
            </w:r>
            <w:r w:rsidR="007342AE" w:rsidRPr="005E3C1F"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 хора в Република Сърбия;</w:t>
            </w:r>
          </w:p>
          <w:p w:rsidR="003558BD" w:rsidRPr="00D3217E" w:rsidRDefault="00D3217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Малцинствените</w:t>
            </w:r>
            <w:r w:rsidR="007342AE" w:rsidRPr="005E3C1F"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 групи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;</w:t>
            </w:r>
          </w:p>
          <w:p w:rsidR="00D3217E" w:rsidRPr="005E3C1F" w:rsidRDefault="00D3217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Еко организации.</w:t>
            </w: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EF3BD4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3.   </w:t>
      </w:r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Очаквани резултати: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78"/>
      </w:tblGrid>
      <w:tr w:rsidR="003558BD" w:rsidRPr="005E3C1F"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утвърждаване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доброто име и международния авторитет на България;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</w:t>
            </w: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подобряване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социално-икономическото развитие и доброто управление; 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задълбочаване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взаимодействието между институциите на централно, регионално и местно ниво и пр.;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видим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напредък в гарантирането на правата на националните малцинства чрез ефективно прилагане на правозащитни стандарти и укрепване на правозащитната култура на местните администрации и националните съвети на националните малцинства;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lastRenderedPageBreak/>
              <w:t>подкрепа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за свободата на словото и медиите чрез </w:t>
            </w:r>
            <w:proofErr w:type="spell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насърчаван</w:t>
            </w:r>
            <w:r w:rsidR="007C54A8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e</w:t>
            </w:r>
            <w:proofErr w:type="spell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качествена, независима и гражданска журналистика;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засилване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административния капацитет за демократични реформи и укрепване на върховенството на закона, насърчаване на доброто управление;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повишаване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</w:t>
            </w:r>
            <w:r w:rsidR="00206A91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информираността и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гражданската активност на младите хора и тяхното овластяване при управление на публичните политики;</w:t>
            </w:r>
          </w:p>
          <w:p w:rsidR="003558BD" w:rsidRPr="005E3C1F" w:rsidRDefault="00094368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създаване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по-добри условия и повишаване конкурентоспособността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за малкия и среден бизнес и предприемачеството, със специално внимание към създаването на нови възможности за младите хора;</w:t>
            </w:r>
          </w:p>
          <w:p w:rsidR="003558BD" w:rsidRPr="005E3C1F" w:rsidRDefault="00FA353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-качествена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и здравословна околна среда и устойчиво управление на природните ресурси.</w:t>
            </w: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4. Допустими стойности на проектите: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4.1. Минималната допустима стойност на проект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е  5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000 лв. /около 2 500 евро/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4.2. Препоръчителната максимална стойност на проект е:</w:t>
      </w:r>
    </w:p>
    <w:p w:rsidR="003558BD" w:rsidRPr="005E3C1F" w:rsidRDefault="007342AE">
      <w:pPr>
        <w:numPr>
          <w:ilvl w:val="0"/>
          <w:numId w:val="6"/>
        </w:numPr>
        <w:spacing w:before="100" w:after="0" w:line="240" w:lineRule="auto"/>
        <w:ind w:left="78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за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проекти, чиято основна цел е доставка на стоки и/или предоставяне на услуги - до 70 000 лв. /около 35 </w:t>
      </w:r>
      <w:r w:rsidR="00053C95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8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00 евро/;</w:t>
      </w:r>
    </w:p>
    <w:p w:rsidR="003558BD" w:rsidRPr="005E3C1F" w:rsidRDefault="007342AE">
      <w:pPr>
        <w:numPr>
          <w:ilvl w:val="0"/>
          <w:numId w:val="6"/>
        </w:numPr>
        <w:spacing w:before="100" w:after="0" w:line="240" w:lineRule="auto"/>
        <w:ind w:left="78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за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проекти, чиято основна цел е извършване на ремонтни и/или </w:t>
      </w:r>
      <w:r w:rsidR="00380BF3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строителни дейности –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до </w:t>
      </w:r>
      <w:r w:rsidR="00380BF3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14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0 000</w:t>
      </w: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лв.</w:t>
      </w: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/около </w:t>
      </w:r>
      <w:r w:rsidR="00053C95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71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</w:t>
      </w:r>
      <w:r w:rsidR="00053C95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6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00 евро/.</w:t>
      </w:r>
    </w:p>
    <w:p w:rsidR="003558BD" w:rsidRPr="005E3C1F" w:rsidRDefault="007342AE">
      <w:pPr>
        <w:spacing w:after="0" w:line="259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4.3. Осигурено от кандидата съ-финансиране на дейности по проекта ще се разглежда като предимство при оценяването, подбора и одобряването на проектите.</w:t>
      </w:r>
    </w:p>
    <w:p w:rsidR="003558BD" w:rsidRPr="005E3C1F" w:rsidRDefault="003558BD">
      <w:pPr>
        <w:spacing w:after="0" w:line="259" w:lineRule="auto"/>
        <w:ind w:left="420"/>
        <w:jc w:val="both"/>
        <w:rPr>
          <w:rFonts w:ascii="Calibri" w:eastAsia="Calibri" w:hAnsi="Calibri" w:cs="Calibri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5. Срокове за изпълнение и продължителност на проектите: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5.1. Проектните предложения трябва да съдържат индикативен начален срок за изпълнение на проекта след 1 март 202</w:t>
      </w:r>
      <w:r w:rsidR="00C5165A">
        <w:rPr>
          <w:rFonts w:ascii="Calibri" w:eastAsia="Calibri" w:hAnsi="Calibri" w:cs="Calibri"/>
          <w:sz w:val="24"/>
          <w:shd w:val="clear" w:color="auto" w:fill="FFFFFF"/>
          <w:lang w:val="bg-BG"/>
        </w:rPr>
        <w:t>3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г. и не по-късен от 30 ноември 202</w:t>
      </w:r>
      <w:r w:rsidR="00C5165A">
        <w:rPr>
          <w:rFonts w:ascii="Calibri" w:eastAsia="Calibri" w:hAnsi="Calibri" w:cs="Calibri"/>
          <w:sz w:val="24"/>
          <w:shd w:val="clear" w:color="auto" w:fill="FFFFFF"/>
          <w:lang w:val="bg-BG"/>
        </w:rPr>
        <w:t>3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г.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5.2. Изпълнението на проекта трябва да приключи не по-късно от 31 декември 202</w:t>
      </w:r>
      <w:r w:rsidR="00C5165A">
        <w:rPr>
          <w:rFonts w:ascii="Calibri" w:eastAsia="Calibri" w:hAnsi="Calibri" w:cs="Calibri"/>
          <w:sz w:val="24"/>
          <w:shd w:val="clear" w:color="auto" w:fill="FFFFFF"/>
          <w:lang w:val="bg-BG"/>
        </w:rPr>
        <w:t>5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г. 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F943D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6. </w:t>
      </w:r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Допустими кандидати: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Първостепенни и второстепенни разпоредители с бюджет – юридически лица на Република Сърбия;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Международни и местни неправителствени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организации; </w:t>
      </w:r>
      <w:proofErr w:type="gramEnd"/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Общини и техни обединения;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Образователни, здравни и социални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институции; </w:t>
      </w:r>
      <w:proofErr w:type="gramEnd"/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Международни хуманитарни организации;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lastRenderedPageBreak/>
        <w:t xml:space="preserve">Други организации и сдружения, които нямат политически цели и </w:t>
      </w:r>
      <w:r w:rsidR="00206A91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не участват в политически формации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.</w:t>
      </w:r>
    </w:p>
    <w:p w:rsidR="008323F2" w:rsidRPr="005E3C1F" w:rsidRDefault="008323F2">
      <w:pPr>
        <w:spacing w:after="160" w:line="259" w:lineRule="auto"/>
        <w:jc w:val="both"/>
        <w:rPr>
          <w:rFonts w:ascii="Calibri" w:eastAsia="Calibri" w:hAnsi="Calibri" w:cs="Calibri"/>
          <w:sz w:val="24"/>
          <w:lang w:val="bg-BG"/>
        </w:rPr>
      </w:pPr>
    </w:p>
    <w:p w:rsidR="003558BD" w:rsidRPr="005E3C1F" w:rsidRDefault="007342AE">
      <w:pPr>
        <w:spacing w:after="160" w:line="259" w:lineRule="auto"/>
        <w:jc w:val="both"/>
        <w:rPr>
          <w:rFonts w:ascii="Calibri" w:eastAsia="Calibri" w:hAnsi="Calibri" w:cs="Calibri"/>
          <w:sz w:val="24"/>
          <w:lang w:val="bg-BG"/>
        </w:rPr>
      </w:pPr>
      <w:r w:rsidRPr="005E3C1F">
        <w:rPr>
          <w:rFonts w:ascii="Calibri" w:eastAsia="Calibri" w:hAnsi="Calibri" w:cs="Calibri"/>
          <w:sz w:val="24"/>
          <w:lang w:val="bg-BG"/>
        </w:rPr>
        <w:t xml:space="preserve">Не могат да кандидатстват за участие в предоставянето на помощ за развитие физически и юридически лица, за които са налице обстоятелства по чл. 23, ал. 3-8 от Постановление </w:t>
      </w:r>
      <w:r w:rsidRPr="005E3C1F">
        <w:rPr>
          <w:rFonts w:ascii="Segoe UI Symbol" w:eastAsia="Segoe UI Symbol" w:hAnsi="Segoe UI Symbol" w:cs="Segoe UI Symbol"/>
          <w:sz w:val="24"/>
          <w:lang w:val="bg-BG"/>
        </w:rPr>
        <w:t>№</w:t>
      </w:r>
      <w:r w:rsidRPr="005E3C1F">
        <w:rPr>
          <w:rFonts w:ascii="Calibri" w:eastAsia="Calibri" w:hAnsi="Calibri" w:cs="Calibri"/>
          <w:sz w:val="24"/>
          <w:lang w:val="bg-BG"/>
        </w:rPr>
        <w:t xml:space="preserve"> 234 на Министерския съвет от 01.08.2011 г. за политиката на Република България на участие в международното сътрудничество за </w:t>
      </w:r>
      <w:r w:rsidR="004C02C8" w:rsidRPr="005E3C1F">
        <w:rPr>
          <w:rFonts w:ascii="Calibri" w:eastAsia="Calibri" w:hAnsi="Calibri" w:cs="Calibri"/>
          <w:sz w:val="24"/>
          <w:lang w:val="bg-BG"/>
        </w:rPr>
        <w:t>развитие.</w:t>
      </w:r>
      <w:r w:rsidR="004C02C8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/ </w:t>
      </w:r>
      <w:proofErr w:type="gramStart"/>
      <w:r w:rsidR="00053C95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виж</w:t>
      </w:r>
      <w:proofErr w:type="gramEnd"/>
      <w:r w:rsidR="00053C95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Приложение </w:t>
      </w:r>
      <w:r w:rsidR="00053C95" w:rsidRPr="005E3C1F">
        <w:rPr>
          <w:rFonts w:ascii="Segoe UI Symbol" w:eastAsia="Segoe UI Symbol" w:hAnsi="Segoe UI Symbol" w:cs="Segoe UI Symbol"/>
          <w:sz w:val="24"/>
          <w:shd w:val="clear" w:color="auto" w:fill="FFFFFF"/>
          <w:lang w:val="bg-BG"/>
        </w:rPr>
        <w:t>№</w:t>
      </w:r>
      <w:r w:rsidR="00053C95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1/</w:t>
      </w:r>
    </w:p>
    <w:p w:rsidR="003558BD" w:rsidRPr="005E3C1F" w:rsidRDefault="00EF3BD4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7.   </w:t>
      </w:r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Допустими дейности и разходи по </w:t>
      </w:r>
      <w:proofErr w:type="gramStart"/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проектите: </w:t>
      </w:r>
      <w:proofErr w:type="gramEnd"/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7.1. Разходите за изпълнение на проекта трябва да отговарят едновременно на следните </w:t>
      </w:r>
      <w:r w:rsidR="00F943D0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условия: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- 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да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са законосъобразни</w:t>
      </w:r>
      <w:r w:rsidRPr="005E3C1F">
        <w:rPr>
          <w:rFonts w:ascii="Calibri" w:eastAsia="Calibri" w:hAnsi="Calibri" w:cs="Calibri"/>
          <w:shd w:val="clear" w:color="auto" w:fill="FFFFFF"/>
          <w:lang w:val="bg-BG"/>
        </w:rPr>
        <w:t xml:space="preserve"> и да отговарят на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принципите на отговорност, икономичност, ефикасност, ефективност и прозрачност; 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-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да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са извършени срещу необходимите разходооправдателни документи - фактури или други документи с еквивалентна доказателствена стойност;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- 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да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са в рамките на стойността на проекта;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-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да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3558BD" w:rsidRPr="005E3C1F" w:rsidRDefault="007342AE">
      <w:pPr>
        <w:spacing w:after="150" w:line="240" w:lineRule="auto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7.</w:t>
      </w:r>
      <w:r w:rsidR="00EF3BD4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2.</w:t>
      </w:r>
      <w:r w:rsidR="00EF3BD4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  </w:t>
      </w: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Задължителни дейности, които трябва да бъдат предвидени в проекта: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-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изготвяне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на </w:t>
      </w:r>
      <w:proofErr w:type="spell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одитен</w:t>
      </w:r>
      <w:proofErr w:type="spell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доклад от независим финансов одитор;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-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дейности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5E3C1F">
        <w:rPr>
          <w:rFonts w:ascii="Calibri" w:eastAsia="Calibri" w:hAnsi="Calibri" w:cs="Calibri"/>
          <w:shd w:val="clear" w:color="auto" w:fill="FFFFFF"/>
          <w:lang w:val="bg-BG"/>
        </w:rPr>
        <w:t xml:space="preserve">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от 3 до 5 % от общата стойност на проекта, но не повече от 5 хиляди лева;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-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при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реализирането на всички проекти, финансирани с българската помощ за </w:t>
      </w:r>
      <w:proofErr w:type="spell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развиетие</w:t>
      </w:r>
      <w:proofErr w:type="spell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, следва да се прилагат Насоките за публичност и видимост на българската помощ за развитие /виж Приложение </w:t>
      </w:r>
      <w:r w:rsidRPr="005E3C1F">
        <w:rPr>
          <w:rFonts w:ascii="Segoe UI Symbol" w:eastAsia="Segoe UI Symbol" w:hAnsi="Segoe UI Symbol" w:cs="Segoe UI Symbol"/>
          <w:sz w:val="24"/>
          <w:shd w:val="clear" w:color="auto" w:fill="FFFFFF"/>
          <w:lang w:val="bg-BG"/>
        </w:rPr>
        <w:t>№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2/.</w:t>
      </w:r>
    </w:p>
    <w:p w:rsidR="003558BD" w:rsidRPr="005E3C1F" w:rsidRDefault="007342AE">
      <w:pPr>
        <w:spacing w:after="150" w:line="240" w:lineRule="auto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7.3.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</w:t>
      </w: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Примерни дейности, които могат да бъдат финансирани: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78"/>
      </w:tblGrid>
      <w:tr w:rsidR="003558BD" w:rsidRPr="005E3C1F"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Разработване на нови/осъвременяване на съществуващи обучителни модули;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Организиране и провеждане на обучения за служителите от администрацията на страната-партньор;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- </w:t>
            </w:r>
            <w:r w:rsidR="00D53E22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Организиране и провеждане на семинари, форуми, конференции (при спазване на мерките свързани с пандемията от </w:t>
            </w:r>
            <w:proofErr w:type="gramStart"/>
            <w:r w:rsidR="00D53E22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COVID -19</w:t>
            </w:r>
            <w:proofErr w:type="gramEnd"/>
            <w:r w:rsidR="00D53E22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)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Разработване на изследвания и стратегии;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Дейности за повишаване на информираността за правата на гражданите;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lastRenderedPageBreak/>
              <w:t>- 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</w:t>
            </w:r>
          </w:p>
          <w:p w:rsidR="003558BD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Дейности за подобряване на диалога между неправителствените организации и местните, регионалните и националните власти;</w:t>
            </w:r>
          </w:p>
          <w:p w:rsidR="00A308EF" w:rsidRPr="005E3C1F" w:rsidRDefault="00A308EF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Дейности, свързани с опазване на околната среда и подобряване условията на живот;</w:t>
            </w:r>
          </w:p>
          <w:p w:rsidR="008E206E" w:rsidRPr="00A308EF" w:rsidRDefault="007342AE" w:rsidP="008E206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- Дейности, свързани с подобряване качеството на инфраструктурата в съответната област и повишаване потенциала на обектите чрез доставка на </w:t>
            </w: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оборудване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      </w:r>
            <w:r w:rsidR="00A308EF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например: 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br/>
              <w:t>• Доставка на оборудване и материали, предназначени за  обекти  държавна или общинска собственост – училища, болници, детски гради</w:t>
            </w:r>
            <w:r w:rsidR="008E206E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ни, домове за стари хора и т.</w:t>
            </w:r>
            <w:proofErr w:type="gramStart"/>
            <w:r w:rsidR="008E206E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н;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br/>
              <w:t>• Строителни работи за подобряване на обекти  държавна или общинска собственост – училища, болници, детски градини, домове за стари хора и т.н</w:t>
            </w:r>
            <w:r w:rsidR="00A308E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.</w:t>
            </w:r>
          </w:p>
        </w:tc>
      </w:tr>
    </w:tbl>
    <w:p w:rsidR="003558BD" w:rsidRPr="005E3C1F" w:rsidRDefault="003558BD">
      <w:pPr>
        <w:spacing w:after="150" w:line="240" w:lineRule="auto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EF3BD4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8.   </w:t>
      </w:r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Необходими документи за кандидатстване: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8509A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 xml:space="preserve">Формуляр за кандидатстване е наличен на следната интернет страница на български и английски език: </w:t>
      </w:r>
      <w:proofErr w:type="gramStart"/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https://www</w:t>
      </w:r>
      <w:proofErr w:type="gramEnd"/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.</w:t>
      </w:r>
      <w:proofErr w:type="gramStart"/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mfa.</w:t>
      </w:r>
      <w:proofErr w:type="gramEnd"/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bg/bg/3865</w:t>
      </w:r>
      <w:r w:rsidR="007342AE"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.</w:t>
      </w:r>
    </w:p>
    <w:p w:rsidR="003558BD" w:rsidRPr="005E3C1F" w:rsidRDefault="003558BD">
      <w:pPr>
        <w:spacing w:after="0" w:line="240" w:lineRule="auto"/>
        <w:jc w:val="both"/>
        <w:rPr>
          <w:rFonts w:ascii="Cambria" w:eastAsia="Cambria" w:hAnsi="Cambria" w:cs="Cambria"/>
          <w:sz w:val="24"/>
          <w:shd w:val="clear" w:color="auto" w:fill="FFFF00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</w:t>
      </w:r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Посолството</w:t>
      </w:r>
      <w:r w:rsidR="008509A3"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/ Генералното консулство</w:t>
      </w:r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 xml:space="preserve"> на Република България в </w:t>
      </w:r>
      <w:r w:rsidR="008509A3"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Република Сърбия</w:t>
      </w:r>
      <w:r w:rsidRPr="005E3C1F">
        <w:rPr>
          <w:rFonts w:ascii="Calibri" w:eastAsia="Calibri" w:hAnsi="Calibri" w:cs="Calibri"/>
          <w:shd w:val="clear" w:color="auto" w:fill="FFFFFF"/>
          <w:lang w:val="bg-BG"/>
        </w:rPr>
        <w:t xml:space="preserve">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може да изисква в кратки срокове допълнителна информация. </w:t>
      </w:r>
      <w:r w:rsidR="008509A3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Не получаването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на такава информация в определения срок се счита за основание за отхвърляне на предложението.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9. Начин и срокове за приемане на проектите: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78"/>
      </w:tblGrid>
      <w:tr w:rsidR="003558BD" w:rsidRPr="005E3C1F" w:rsidTr="007342AE">
        <w:trPr>
          <w:trHeight w:val="2888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Проектните предложения ще се приемат по електронната поща на </w:t>
            </w:r>
            <w:r w:rsidR="007B4FD6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адрес</w:t>
            </w:r>
            <w:r w:rsidR="007B4FD6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:</w:t>
            </w:r>
          </w:p>
          <w:p w:rsidR="003558BD" w:rsidRPr="005E3C1F" w:rsidRDefault="0034413A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bul_oda_serbia@</w:t>
            </w:r>
            <w:proofErr w:type="gramStart"/>
            <w:r w:rsidR="007B4FD6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mfa.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bg</w:t>
            </w:r>
          </w:p>
          <w:p w:rsidR="003558BD" w:rsidRPr="005E3C1F" w:rsidRDefault="003558BD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</w:p>
          <w:p w:rsidR="003558BD" w:rsidRPr="007B4FD6" w:rsidRDefault="00021AF7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</w:pP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Проектните предложения трябва задължително да 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бъдат изпращани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 като два отделни 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файла - /1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/ във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 </w:t>
            </w:r>
            <w:proofErr w:type="gramStart"/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формат W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ord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 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и /2/ в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ъв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 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формат</w:t>
            </w:r>
            <w:proofErr w:type="gramEnd"/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 PDF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 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(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сканиран с подпис и печат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)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.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 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Проектите следва да бъдат на български или на английски </w:t>
            </w:r>
            <w:r w:rsidR="007B4FD6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език.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 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Проектите се приемат в срок до 30 юни 202</w:t>
            </w:r>
            <w:r w:rsidR="007D40DE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 xml:space="preserve">2 </w:t>
            </w:r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г.</w:t>
            </w:r>
          </w:p>
          <w:p w:rsidR="003558BD" w:rsidRPr="005E3C1F" w:rsidRDefault="003558BD">
            <w:pPr>
              <w:spacing w:after="0" w:line="240" w:lineRule="auto"/>
              <w:rPr>
                <w:rFonts w:ascii="Calibri" w:eastAsia="Calibri" w:hAnsi="Calibri" w:cs="Calibri"/>
                <w:lang w:val="bg-BG"/>
              </w:rPr>
            </w:pP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10. Допълнителна информация: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076E1E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lastRenderedPageBreak/>
        <w:t xml:space="preserve">Кандидатите се уведомяват за резултатите от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. Посолството</w:t>
      </w:r>
      <w:r w:rsidR="003A4796"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/ Генералното консулство на Република България в Република Сърбия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няма задължение да информира кандидатите за основанията за одобрение или отхвърляне на постъпилите проектни </w:t>
      </w:r>
      <w:r w:rsidR="003A4796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предложения.</w:t>
      </w:r>
    </w:p>
    <w:p w:rsidR="006F6C36" w:rsidRPr="00076E1E" w:rsidRDefault="007342AE">
      <w:pPr>
        <w:spacing w:after="160" w:line="259" w:lineRule="auto"/>
        <w:rPr>
          <w:rFonts w:ascii="Calibri" w:eastAsia="Calibri" w:hAnsi="Calibri" w:cs="Calibri"/>
          <w:sz w:val="24"/>
          <w:lang w:val="bg-BG"/>
        </w:rPr>
      </w:pPr>
      <w:r w:rsidRPr="00076E1E">
        <w:rPr>
          <w:rFonts w:ascii="Calibri" w:eastAsia="Calibri" w:hAnsi="Calibri" w:cs="Calibri"/>
          <w:sz w:val="24"/>
          <w:lang w:val="bg-BG"/>
        </w:rPr>
        <w:t xml:space="preserve"> </w:t>
      </w:r>
    </w:p>
    <w:p w:rsidR="006F6C36" w:rsidRPr="00076E1E" w:rsidRDefault="006F6C36">
      <w:pPr>
        <w:rPr>
          <w:rFonts w:ascii="Calibri" w:eastAsia="Calibri" w:hAnsi="Calibri" w:cs="Calibri"/>
          <w:sz w:val="24"/>
          <w:lang w:val="bg-BG"/>
        </w:rPr>
      </w:pPr>
      <w:r w:rsidRPr="00076E1E">
        <w:rPr>
          <w:rFonts w:ascii="Calibri" w:eastAsia="Calibri" w:hAnsi="Calibri" w:cs="Calibri"/>
          <w:sz w:val="24"/>
          <w:lang w:val="bg-BG"/>
        </w:rPr>
        <w:br w:type="page"/>
      </w:r>
    </w:p>
    <w:p w:rsidR="003558BD" w:rsidRPr="00076E1E" w:rsidRDefault="003558BD">
      <w:pPr>
        <w:spacing w:after="160" w:line="259" w:lineRule="auto"/>
        <w:rPr>
          <w:rFonts w:ascii="Calibri" w:eastAsia="Calibri" w:hAnsi="Calibri" w:cs="Calibri"/>
          <w:sz w:val="24"/>
          <w:lang w:val="bg-BG"/>
        </w:rPr>
      </w:pPr>
    </w:p>
    <w:p w:rsidR="008B5921" w:rsidRPr="00BC6297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t>Приложение 1</w:t>
      </w: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8B5921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8B5921" w:rsidRPr="00BC6297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proofErr w:type="gramStart"/>
      <w:r w:rsidRPr="00BC6297">
        <w:rPr>
          <w:b/>
          <w:sz w:val="24"/>
          <w:szCs w:val="24"/>
          <w:lang w:val="bg-BG"/>
        </w:rPr>
        <w:t>Чл.23</w:t>
      </w:r>
      <w:proofErr w:type="gramEnd"/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8B5921" w:rsidRPr="001D4F9E" w:rsidRDefault="008B5921" w:rsidP="008B5921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8B5921" w:rsidRPr="00BC6297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</w:t>
      </w:r>
      <w:proofErr w:type="spellStart"/>
      <w:r w:rsidRPr="00BC6297">
        <w:rPr>
          <w:rFonts w:cs="Verdana"/>
          <w:sz w:val="24"/>
          <w:szCs w:val="24"/>
        </w:rPr>
        <w:t>обявено</w:t>
      </w:r>
      <w:proofErr w:type="spellEnd"/>
      <w:r w:rsidRPr="00BC6297">
        <w:rPr>
          <w:rFonts w:cs="Verdana"/>
          <w:sz w:val="24"/>
          <w:szCs w:val="24"/>
        </w:rPr>
        <w:t xml:space="preserve"> в </w:t>
      </w:r>
      <w:proofErr w:type="spellStart"/>
      <w:r w:rsidRPr="00BC6297">
        <w:rPr>
          <w:rFonts w:cs="Verdana"/>
          <w:sz w:val="24"/>
          <w:szCs w:val="24"/>
        </w:rPr>
        <w:t>несъстоятелност</w:t>
      </w:r>
      <w:proofErr w:type="spellEnd"/>
      <w:r w:rsidRPr="00BC6297">
        <w:rPr>
          <w:rFonts w:cs="Verdana"/>
          <w:sz w:val="24"/>
          <w:szCs w:val="24"/>
        </w:rPr>
        <w:t xml:space="preserve">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8B5921" w:rsidRPr="001D4F9E" w:rsidRDefault="008B5921" w:rsidP="008B5921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8B5921" w:rsidRPr="00F75440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F75440">
        <w:rPr>
          <w:rFonts w:cs="Verdana"/>
          <w:sz w:val="24"/>
          <w:szCs w:val="24"/>
          <w:lang w:val="ru-RU"/>
        </w:rPr>
        <w:lastRenderedPageBreak/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8B5921" w:rsidRPr="001D4F9E" w:rsidRDefault="008B5921" w:rsidP="008B5921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ru-RU"/>
        </w:rPr>
      </w:pPr>
    </w:p>
    <w:p w:rsidR="008B5921" w:rsidRPr="00F75440" w:rsidRDefault="008B5921" w:rsidP="008B5921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8B5921" w:rsidRPr="00F75440" w:rsidRDefault="008B5921" w:rsidP="008B5921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8B5921" w:rsidRPr="001D4F9E" w:rsidRDefault="008B5921" w:rsidP="008B5921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:rsidR="008B5921" w:rsidRDefault="008B5921">
      <w:pPr>
        <w:rPr>
          <w:rFonts w:ascii="Calibri Light" w:eastAsia="Calibri Light" w:hAnsi="Calibri Light" w:cs="Calibri Light"/>
          <w:b/>
          <w:sz w:val="27"/>
          <w:lang w:val="bg-BG"/>
        </w:rPr>
      </w:pPr>
      <w:r>
        <w:rPr>
          <w:rFonts w:ascii="Calibri Light" w:eastAsia="Calibri Light" w:hAnsi="Calibri Light" w:cs="Calibri Light"/>
          <w:b/>
          <w:sz w:val="27"/>
          <w:lang w:val="bg-BG"/>
        </w:rPr>
        <w:br w:type="page"/>
      </w:r>
    </w:p>
    <w:p w:rsidR="003558BD" w:rsidRPr="00076E1E" w:rsidRDefault="007342AE">
      <w:pPr>
        <w:spacing w:after="160" w:line="259" w:lineRule="auto"/>
        <w:rPr>
          <w:rFonts w:ascii="Calibri Light" w:eastAsia="Calibri Light" w:hAnsi="Calibri Light" w:cs="Calibri Light"/>
          <w:b/>
          <w:sz w:val="27"/>
          <w:lang w:val="bg-BG"/>
        </w:rPr>
      </w:pPr>
      <w:r w:rsidRPr="00076E1E">
        <w:rPr>
          <w:rFonts w:ascii="Calibri Light" w:eastAsia="Calibri Light" w:hAnsi="Calibri Light" w:cs="Calibri Light"/>
          <w:b/>
          <w:sz w:val="27"/>
          <w:lang w:val="bg-BG"/>
        </w:rPr>
        <w:lastRenderedPageBreak/>
        <w:t xml:space="preserve">Приложение </w:t>
      </w:r>
      <w:r w:rsidRPr="00076E1E">
        <w:rPr>
          <w:rFonts w:ascii="Segoe UI Symbol" w:eastAsia="Segoe UI Symbol" w:hAnsi="Segoe UI Symbol" w:cs="Segoe UI Symbol"/>
          <w:b/>
          <w:sz w:val="27"/>
          <w:lang w:val="bg-BG"/>
        </w:rPr>
        <w:t>№</w:t>
      </w:r>
      <w:r w:rsidRPr="00076E1E">
        <w:rPr>
          <w:rFonts w:ascii="Calibri Light" w:eastAsia="Calibri Light" w:hAnsi="Calibri Light" w:cs="Calibri Light"/>
          <w:b/>
          <w:sz w:val="27"/>
          <w:lang w:val="bg-BG"/>
        </w:rPr>
        <w:t xml:space="preserve"> 2</w:t>
      </w:r>
    </w:p>
    <w:p w:rsidR="003558BD" w:rsidRPr="00076E1E" w:rsidRDefault="003558BD">
      <w:pPr>
        <w:spacing w:after="160" w:line="259" w:lineRule="auto"/>
        <w:rPr>
          <w:rFonts w:ascii="Calibri Light" w:eastAsia="Calibri Light" w:hAnsi="Calibri Light" w:cs="Calibri Light"/>
          <w:b/>
          <w:sz w:val="27"/>
          <w:lang w:val="bg-BG"/>
        </w:rPr>
      </w:pPr>
    </w:p>
    <w:p w:rsidR="007C2EF3" w:rsidRPr="001726A8" w:rsidRDefault="007C2EF3" w:rsidP="007C2EF3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НАСОКИ ЗА ПУБЛИЧНОСТ И ВИДИМОСТ НА БЪЛГАРСКАТА ПОМОЩ ЗА РАЗВИТИЕ</w:t>
      </w:r>
    </w:p>
    <w:p w:rsidR="007C2EF3" w:rsidRPr="001726A8" w:rsidRDefault="007C2EF3" w:rsidP="007C2EF3">
      <w:pPr>
        <w:jc w:val="center"/>
        <w:rPr>
          <w:rFonts w:ascii="Cambria" w:hAnsi="Cambria"/>
          <w:sz w:val="27"/>
          <w:szCs w:val="27"/>
          <w:lang w:val="ru-RU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Информационните материали</w:t>
      </w:r>
      <w:proofErr w:type="gramStart"/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използвани</w:t>
      </w:r>
      <w:proofErr w:type="gramEnd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при изпълнение на комуникационния план по проекти за развитие</w:t>
      </w:r>
      <w:r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:rsidR="007C2EF3" w:rsidRPr="007E03E7" w:rsidRDefault="007C2EF3" w:rsidP="007C2EF3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:rsidR="007C2EF3" w:rsidRPr="007E03E7" w:rsidRDefault="007C2EF3" w:rsidP="007C2EF3">
      <w:pPr>
        <w:pStyle w:val="ListParagraph"/>
        <w:numPr>
          <w:ilvl w:val="1"/>
          <w:numId w:val="20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Логото на Българска помощ за развитие</w:t>
      </w:r>
      <w:r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>
        <w:rPr>
          <w:rFonts w:ascii="Cambria" w:hAnsi="Cambria" w:cs="TimesNewRoman,Bold"/>
          <w:bCs/>
          <w:color w:val="000000"/>
          <w:sz w:val="27"/>
          <w:szCs w:val="27"/>
        </w:rPr>
        <w:t xml:space="preserve">; </w:t>
      </w:r>
      <w:proofErr w:type="gramStart"/>
      <w:r>
        <w:rPr>
          <w:rFonts w:ascii="Cambria" w:hAnsi="Cambria" w:cs="TimesNewRoman,Bold"/>
          <w:bCs/>
          <w:color w:val="000000"/>
          <w:sz w:val="27"/>
          <w:szCs w:val="27"/>
        </w:rPr>
        <w:t>знамето</w:t>
      </w:r>
      <w:proofErr w:type="gramEnd"/>
      <w:r>
        <w:rPr>
          <w:rFonts w:ascii="Cambria" w:hAnsi="Cambria" w:cs="TimesNewRoman,Bold"/>
          <w:bCs/>
          <w:color w:val="000000"/>
          <w:sz w:val="27"/>
          <w:szCs w:val="27"/>
        </w:rPr>
        <w:t xml:space="preserve"> на страната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или логото на бенефициента, който изпълнява проекта; текст на официалния език на страната партньор, запазващ смисъла на следния текст на български и английски език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Проект /име на проекта/ се финансира със средства по Българската помощ за развитие /The project /Project Title/ is funded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Този проект е финансиран със средства по Българската помощ за развитие /This project is funded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:rsidR="007C2EF3" w:rsidRPr="007E03E7" w:rsidRDefault="007C2EF3" w:rsidP="007C2EF3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:rsidR="007C2EF3" w:rsidRPr="007E03E7" w:rsidRDefault="007C2EF3" w:rsidP="007C2EF3">
      <w:pPr>
        <w:pStyle w:val="ListParagraph"/>
        <w:numPr>
          <w:ilvl w:val="1"/>
          <w:numId w:val="20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 xml:space="preserve">При проект, който се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</w:t>
      </w:r>
      <w:proofErr w:type="spellEnd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 на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съфинансиращата</w:t>
      </w:r>
      <w:proofErr w:type="spellEnd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организация, без да бъдат изпускани задължителните елементи изброени в т. 1.1. </w:t>
      </w:r>
    </w:p>
    <w:p w:rsidR="007C2EF3" w:rsidRPr="007E03E7" w:rsidRDefault="007C2EF3" w:rsidP="007C2EF3">
      <w:pPr>
        <w:pStyle w:val="ListParagraph"/>
        <w:numPr>
          <w:ilvl w:val="1"/>
          <w:numId w:val="20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При публикации, научни издания, наръчници, информационни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информират, представяйки факти, да бъде използван следния текст като </w:t>
      </w:r>
      <w:proofErr w:type="gram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забележка: </w:t>
      </w:r>
      <w:proofErr w:type="gramEnd"/>
    </w:p>
    <w:p w:rsidR="007C2EF3" w:rsidRPr="007E03E7" w:rsidRDefault="007C2EF3" w:rsidP="007C2EF3">
      <w:pPr>
        <w:pStyle w:val="ListParagraph"/>
        <w:numPr>
          <w:ilvl w:val="0"/>
          <w:numId w:val="21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 (или друг вид материал)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>. При никакви обстоятелства материалите (в съответната публикация/материал) не могат да се разглеждат като отразяващи позицията на Република България и Българск</w:t>
      </w:r>
      <w:r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This publication has been produced with the assistance of the Bulgarian Development Aid. The contents of this publication are the sole responsibility of &lt;name of the author/contractor/implementing partner/international organisation&gt; and can in no way be taken to reflect the views of the Republic of Bulgaria</w:t>
      </w:r>
      <w:r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Bulgarian Development Aid.</w:t>
      </w:r>
    </w:p>
    <w:p w:rsidR="007C2EF3" w:rsidRPr="001726A8" w:rsidRDefault="007C2EF3" w:rsidP="007C2EF3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:rsidR="007C2EF3" w:rsidRPr="001726A8" w:rsidRDefault="007C2EF3" w:rsidP="007C2EF3">
      <w:pPr>
        <w:pStyle w:val="ListParagraph"/>
        <w:numPr>
          <w:ilvl w:val="1"/>
          <w:numId w:val="19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</w:t>
      </w:r>
      <w:proofErr w:type="spellStart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дипляни</w:t>
      </w:r>
      <w:proofErr w:type="spellEnd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 и логото на Българската помощ за развитие, съобразен със спецификите на целевата аудитория;</w:t>
      </w:r>
    </w:p>
    <w:p w:rsidR="007C2EF3" w:rsidRPr="007E03E7" w:rsidRDefault="007C2EF3" w:rsidP="007C2EF3">
      <w:pPr>
        <w:pStyle w:val="ListParagraph"/>
        <w:numPr>
          <w:ilvl w:val="1"/>
          <w:numId w:val="19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следва да съдържат всички задължителни елементи на визуализация, включително логото на Българската помощ за развитие. При тях може да се добави и наименованието, както и логото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</w:t>
      </w:r>
      <w:r w:rsidRPr="007E03E7">
        <w:rPr>
          <w:rFonts w:ascii="Cambria" w:hAnsi="Cambria" w:cs="TimesNewRoman"/>
          <w:color w:val="000000"/>
          <w:sz w:val="27"/>
          <w:szCs w:val="27"/>
        </w:rPr>
        <w:lastRenderedPageBreak/>
        <w:t xml:space="preserve">средства </w:t>
      </w:r>
      <w:r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:rsidR="007C2EF3" w:rsidRPr="007E03E7" w:rsidRDefault="007C2EF3" w:rsidP="007C2EF3">
      <w:pPr>
        <w:pStyle w:val="ListParagraph"/>
        <w:numPr>
          <w:ilvl w:val="1"/>
          <w:numId w:val="19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Промоционални и рекламни материали с малък размер (химикалки, USB, ключодържатели, значки, запалки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предвид малката площ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печатаемото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>
        <w:rPr>
          <w:rFonts w:ascii="Cambria" w:hAnsi="Cambria" w:cs="TimesNewRoman"/>
          <w:color w:val="000000"/>
          <w:sz w:val="27"/>
          <w:szCs w:val="27"/>
        </w:rPr>
        <w:t>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:rsidR="007C2EF3" w:rsidRPr="007E03E7" w:rsidRDefault="007C2EF3" w:rsidP="007C2EF3">
      <w:pPr>
        <w:pStyle w:val="ListParagraph"/>
        <w:numPr>
          <w:ilvl w:val="1"/>
          <w:numId w:val="19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</w:t>
      </w:r>
      <w:proofErr w:type="gramStart"/>
      <w:r w:rsidRPr="007E03E7">
        <w:rPr>
          <w:rFonts w:ascii="Cambria" w:hAnsi="Cambria" w:cs="TimesNewRoman"/>
          <w:color w:val="000000"/>
          <w:sz w:val="27"/>
          <w:szCs w:val="27"/>
        </w:rPr>
        <w:t>, като текстът</w:t>
      </w:r>
      <w:proofErr w:type="gram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се изписва задължително на официалния език на страната партньор и на английски език.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бенефициера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</w:t>
      </w:r>
      <w:proofErr w:type="gramStart"/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проекта. </w:t>
      </w:r>
      <w:proofErr w:type="gramEnd"/>
    </w:p>
    <w:p w:rsidR="007C2EF3" w:rsidRPr="001726A8" w:rsidRDefault="007C2EF3" w:rsidP="007C2EF3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за развитие финансирани със средства по Българск</w:t>
      </w:r>
      <w:r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помощ 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следва изрично да оповестяват, че съответният проект се финансира със средства по Българската помощ за развитие /Bulgarian Development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/, като използват </w:t>
      </w:r>
      <w:proofErr w:type="gramStart"/>
      <w:r w:rsidRPr="007E03E7">
        <w:rPr>
          <w:rFonts w:ascii="Cambria" w:hAnsi="Cambria" w:cs="TimesNewRoman"/>
          <w:color w:val="000000"/>
          <w:sz w:val="27"/>
          <w:szCs w:val="27"/>
        </w:rPr>
        <w:t>горепосочените</w:t>
      </w:r>
      <w:proofErr w:type="gram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елементи на мерките за информиране и публичност. Те могат да направят това чрез поставяне на банери в залите, където се провежда мероприятието, в които е включено логото на Българската помощ за развитие</w:t>
      </w:r>
    </w:p>
    <w:p w:rsidR="007C2EF3" w:rsidRPr="007E03E7" w:rsidRDefault="007C2EF3" w:rsidP="007C2EF3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Всички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документи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публикации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рекламно-информационни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материали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свързани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със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събитието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трябва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отговарят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изискванията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визуализация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съгласно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тези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указания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прес-съобщения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сертификати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участие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рекламно-информационни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карета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мултимедийни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презентации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плакати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т.н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/.</w:t>
      </w:r>
    </w:p>
    <w:p w:rsidR="007C2EF3" w:rsidRPr="001726A8" w:rsidRDefault="007C2EF3" w:rsidP="007C2EF3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</w:t>
      </w:r>
      <w:r w:rsidRPr="007E03E7">
        <w:rPr>
          <w:rFonts w:ascii="Cambria" w:hAnsi="Cambria" w:cs="TimesNewRoman"/>
          <w:color w:val="000000"/>
          <w:sz w:val="27"/>
          <w:szCs w:val="27"/>
        </w:rPr>
        <w:lastRenderedPageBreak/>
        <w:t xml:space="preserve">да се посочи ролята на </w:t>
      </w:r>
      <w:r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:rsidR="007C2EF3" w:rsidRPr="007E03E7" w:rsidRDefault="007C2EF3" w:rsidP="007C2EF3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</w:t>
      </w:r>
      <w:proofErr w:type="gramStart"/>
      <w:r w:rsidRPr="007E03E7">
        <w:rPr>
          <w:rFonts w:ascii="Cambria" w:hAnsi="Cambria" w:cs="TimesNewRoman"/>
          <w:color w:val="000000"/>
          <w:sz w:val="27"/>
          <w:szCs w:val="27"/>
        </w:rPr>
        <w:t>др./ следва</w:t>
      </w:r>
      <w:proofErr w:type="gram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Интернет</w:t>
      </w:r>
    </w:p>
    <w:p w:rsidR="007C2EF3" w:rsidRPr="007E03E7" w:rsidRDefault="007C2EF3" w:rsidP="007C2EF3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информацията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разпространявана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интернет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уеб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страниците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банери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графични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изображения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други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визуални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материали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публикувани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в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страниците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в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социалните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мрежи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чрез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други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онлайн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платформи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използвани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организациите</w:t>
      </w:r>
      <w:proofErr w:type="spellEnd"/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изпълняващи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проекти</w:t>
      </w:r>
      <w:proofErr w:type="spellEnd"/>
      <w:r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Cambria" w:hAnsi="Cambria" w:cs="TimesNewRoman"/>
          <w:color w:val="000000"/>
          <w:sz w:val="27"/>
          <w:szCs w:val="27"/>
        </w:rPr>
        <w:t>по</w:t>
      </w:r>
      <w:proofErr w:type="spellEnd"/>
      <w:r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Cambria" w:hAnsi="Cambria" w:cs="TimesNewRoman"/>
          <w:color w:val="000000"/>
          <w:sz w:val="27"/>
          <w:szCs w:val="27"/>
        </w:rPr>
        <w:t>българската</w:t>
      </w:r>
      <w:proofErr w:type="spellEnd"/>
      <w:r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Cambria" w:hAnsi="Cambria" w:cs="TimesNewRoman"/>
          <w:color w:val="000000"/>
          <w:sz w:val="27"/>
          <w:szCs w:val="27"/>
        </w:rPr>
        <w:t>помощ</w:t>
      </w:r>
      <w:bookmarkStart w:id="0" w:name="_GoBack"/>
      <w:bookmarkEnd w:id="0"/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развитие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бъде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предвидено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разполагането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текст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„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име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се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финансира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със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средства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по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Българската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помощ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развитие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/The project /Project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Title/ 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 with the Bulgarian Development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съобразявайки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със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спецификите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комуникационния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канал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аудиторията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като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възможност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разполага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логото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Българската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помощ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развитие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(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знамето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Р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България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)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знамето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страната-партньор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:rsidR="007C2EF3" w:rsidRPr="007E03E7" w:rsidRDefault="007C2EF3" w:rsidP="007C2EF3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:rsidR="007C2EF3" w:rsidRPr="007E03E7" w:rsidRDefault="007C2EF3" w:rsidP="007C2EF3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proofErr w:type="spellStart"/>
      <w:proofErr w:type="gramStart"/>
      <w:r w:rsidRPr="007E03E7">
        <w:rPr>
          <w:rFonts w:ascii="Cambria" w:hAnsi="Cambria" w:cs="TimesNewRoman"/>
          <w:color w:val="000000"/>
          <w:sz w:val="27"/>
          <w:szCs w:val="27"/>
        </w:rPr>
        <w:t>При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закупуване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техническо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или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офис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оборудване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необходимо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изпълнението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проекта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или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в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резултат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него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бенефициентът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следва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постави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стикер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подходящо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място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повърхността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оборудването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  <w:proofErr w:type="gram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стикера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трябва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бъдат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визуализирани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(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знамето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Р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България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)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логото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Българската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помощ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развитие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знамето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страната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партньор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или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логото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бенефициера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придружени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текс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: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име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се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финансира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със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средства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по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Българската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помощ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развитие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proofErr w:type="gram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gram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project /Project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Title/ 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 with the Bulgarian Development Aid.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:rsidR="007C2EF3" w:rsidRPr="007E03E7" w:rsidRDefault="007C2EF3" w:rsidP="007C2EF3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:rsidR="003558BD" w:rsidRPr="00076E1E" w:rsidRDefault="003558BD" w:rsidP="007C2EF3">
      <w:pPr>
        <w:spacing w:after="160" w:line="259" w:lineRule="auto"/>
        <w:jc w:val="center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sectPr w:rsidR="003558BD" w:rsidRPr="00076E1E" w:rsidSect="00BD3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FF4" w:rsidRDefault="007D6FF4" w:rsidP="007C2EF3">
      <w:pPr>
        <w:spacing w:after="0" w:line="240" w:lineRule="auto"/>
      </w:pPr>
      <w:r>
        <w:separator/>
      </w:r>
    </w:p>
  </w:endnote>
  <w:endnote w:type="continuationSeparator" w:id="0">
    <w:p w:rsidR="007D6FF4" w:rsidRDefault="007D6FF4" w:rsidP="007C2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FF4" w:rsidRDefault="007D6FF4" w:rsidP="007C2EF3">
      <w:pPr>
        <w:spacing w:after="0" w:line="240" w:lineRule="auto"/>
      </w:pPr>
      <w:r>
        <w:separator/>
      </w:r>
    </w:p>
  </w:footnote>
  <w:footnote w:type="continuationSeparator" w:id="0">
    <w:p w:rsidR="007D6FF4" w:rsidRDefault="007D6FF4" w:rsidP="007C2EF3">
      <w:pPr>
        <w:spacing w:after="0" w:line="240" w:lineRule="auto"/>
      </w:pPr>
      <w:r>
        <w:continuationSeparator/>
      </w:r>
    </w:p>
  </w:footnote>
  <w:footnote w:id="1">
    <w:p w:rsidR="007C2EF3" w:rsidRDefault="007C2EF3" w:rsidP="007C2E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03E7">
        <w:t xml:space="preserve"> </w:t>
      </w:r>
      <w:r w:rsidRPr="007E03E7">
        <w:rPr>
          <w:noProof/>
          <w:lang w:val="en-US" w:eastAsia="en-US"/>
        </w:rPr>
        <w:drawing>
          <wp:inline distT="0" distB="0" distL="0" distR="0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633F6D"/>
    <w:multiLevelType w:val="multilevel"/>
    <w:tmpl w:val="D3086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F26FC5"/>
    <w:multiLevelType w:val="multilevel"/>
    <w:tmpl w:val="4D621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B61159"/>
    <w:multiLevelType w:val="multilevel"/>
    <w:tmpl w:val="779C38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C3597"/>
    <w:multiLevelType w:val="multilevel"/>
    <w:tmpl w:val="34E6E1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770BF"/>
    <w:multiLevelType w:val="multilevel"/>
    <w:tmpl w:val="196234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962D8C"/>
    <w:multiLevelType w:val="multilevel"/>
    <w:tmpl w:val="447CB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000F5A"/>
    <w:multiLevelType w:val="multilevel"/>
    <w:tmpl w:val="4D042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C12AF7"/>
    <w:multiLevelType w:val="multilevel"/>
    <w:tmpl w:val="F34EB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8A1DEA"/>
    <w:multiLevelType w:val="multilevel"/>
    <w:tmpl w:val="BDEEF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6724B5"/>
    <w:multiLevelType w:val="multilevel"/>
    <w:tmpl w:val="E0BC1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93741E"/>
    <w:multiLevelType w:val="multilevel"/>
    <w:tmpl w:val="EA9AC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5B50FB"/>
    <w:multiLevelType w:val="multilevel"/>
    <w:tmpl w:val="C1683E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476A5B"/>
    <w:multiLevelType w:val="multilevel"/>
    <w:tmpl w:val="D0A86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545B9B"/>
    <w:multiLevelType w:val="multilevel"/>
    <w:tmpl w:val="316C6A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640C73"/>
    <w:multiLevelType w:val="multilevel"/>
    <w:tmpl w:val="93DE5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AC5C8D"/>
    <w:multiLevelType w:val="multilevel"/>
    <w:tmpl w:val="9C96B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3A35F2"/>
    <w:multiLevelType w:val="multilevel"/>
    <w:tmpl w:val="8E446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5A537D"/>
    <w:multiLevelType w:val="multilevel"/>
    <w:tmpl w:val="656C4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5"/>
  </w:num>
  <w:num w:numId="5">
    <w:abstractNumId w:val="20"/>
  </w:num>
  <w:num w:numId="6">
    <w:abstractNumId w:val="23"/>
  </w:num>
  <w:num w:numId="7">
    <w:abstractNumId w:val="6"/>
  </w:num>
  <w:num w:numId="8">
    <w:abstractNumId w:val="12"/>
  </w:num>
  <w:num w:numId="9">
    <w:abstractNumId w:val="14"/>
  </w:num>
  <w:num w:numId="10">
    <w:abstractNumId w:val="18"/>
  </w:num>
  <w:num w:numId="11">
    <w:abstractNumId w:val="21"/>
  </w:num>
  <w:num w:numId="12">
    <w:abstractNumId w:val="3"/>
  </w:num>
  <w:num w:numId="13">
    <w:abstractNumId w:val="10"/>
  </w:num>
  <w:num w:numId="14">
    <w:abstractNumId w:val="11"/>
  </w:num>
  <w:num w:numId="15">
    <w:abstractNumId w:val="13"/>
  </w:num>
  <w:num w:numId="16">
    <w:abstractNumId w:val="16"/>
  </w:num>
  <w:num w:numId="17">
    <w:abstractNumId w:val="15"/>
  </w:num>
  <w:num w:numId="18">
    <w:abstractNumId w:val="4"/>
  </w:num>
  <w:num w:numId="19">
    <w:abstractNumId w:val="0"/>
  </w:num>
  <w:num w:numId="20">
    <w:abstractNumId w:val="2"/>
  </w:num>
  <w:num w:numId="21">
    <w:abstractNumId w:val="7"/>
  </w:num>
  <w:num w:numId="22">
    <w:abstractNumId w:val="8"/>
  </w:num>
  <w:num w:numId="23">
    <w:abstractNumId w:val="9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58BD"/>
    <w:rsid w:val="00021AF7"/>
    <w:rsid w:val="00053C95"/>
    <w:rsid w:val="00076E1E"/>
    <w:rsid w:val="00094368"/>
    <w:rsid w:val="000A0D7E"/>
    <w:rsid w:val="000B0932"/>
    <w:rsid w:val="00206A91"/>
    <w:rsid w:val="00233A81"/>
    <w:rsid w:val="002636EA"/>
    <w:rsid w:val="002A1640"/>
    <w:rsid w:val="002A66C6"/>
    <w:rsid w:val="002C0B6D"/>
    <w:rsid w:val="00322445"/>
    <w:rsid w:val="0034413A"/>
    <w:rsid w:val="003558BD"/>
    <w:rsid w:val="00367567"/>
    <w:rsid w:val="00380BF3"/>
    <w:rsid w:val="003A4796"/>
    <w:rsid w:val="004178F7"/>
    <w:rsid w:val="00442291"/>
    <w:rsid w:val="004C02C8"/>
    <w:rsid w:val="005E3C1F"/>
    <w:rsid w:val="00666D06"/>
    <w:rsid w:val="006F6C36"/>
    <w:rsid w:val="007342AE"/>
    <w:rsid w:val="007B4FD6"/>
    <w:rsid w:val="007C2EF3"/>
    <w:rsid w:val="007C54A8"/>
    <w:rsid w:val="007D40DE"/>
    <w:rsid w:val="007D6FF4"/>
    <w:rsid w:val="0083157E"/>
    <w:rsid w:val="008323F2"/>
    <w:rsid w:val="008509A3"/>
    <w:rsid w:val="008B5921"/>
    <w:rsid w:val="008E206E"/>
    <w:rsid w:val="00A308EF"/>
    <w:rsid w:val="00AC54E2"/>
    <w:rsid w:val="00AF1089"/>
    <w:rsid w:val="00B238F1"/>
    <w:rsid w:val="00B677CD"/>
    <w:rsid w:val="00BD3ABB"/>
    <w:rsid w:val="00C5165A"/>
    <w:rsid w:val="00C56CDF"/>
    <w:rsid w:val="00D2749E"/>
    <w:rsid w:val="00D3217E"/>
    <w:rsid w:val="00D53E22"/>
    <w:rsid w:val="00D84EAB"/>
    <w:rsid w:val="00E64BC6"/>
    <w:rsid w:val="00EF3BD4"/>
    <w:rsid w:val="00F122A0"/>
    <w:rsid w:val="00F7484B"/>
    <w:rsid w:val="00F943D0"/>
    <w:rsid w:val="00FA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C2E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7C2EF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E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7C2E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mfa-50</dc:creator>
  <cp:lastModifiedBy>mfa-50</cp:lastModifiedBy>
  <cp:revision>13</cp:revision>
  <dcterms:created xsi:type="dcterms:W3CDTF">2022-05-17T08:35:00Z</dcterms:created>
  <dcterms:modified xsi:type="dcterms:W3CDTF">2022-05-17T12:45:00Z</dcterms:modified>
</cp:coreProperties>
</file>